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6325F">
      <w:pPr>
        <w:numPr>
          <w:ilvl w:val="0"/>
          <w:numId w:val="1"/>
        </w:numPr>
        <w:spacing w:line="560" w:lineRule="exact"/>
        <w:jc w:val="center"/>
        <w:rPr>
          <w:rFonts w:hint="eastAsia" w:ascii="宋体" w:hAnsi="宋体" w:eastAsia="宋体" w:cs="宋体"/>
          <w:b/>
          <w:bCs w:val="0"/>
          <w:color w:val="000000"/>
          <w:kern w:val="0"/>
          <w:sz w:val="44"/>
          <w:szCs w:val="44"/>
        </w:rPr>
      </w:pPr>
      <w:bookmarkStart w:id="0" w:name="_GoBack"/>
      <w:bookmarkEnd w:id="0"/>
      <w:r>
        <w:rPr>
          <w:rFonts w:hint="eastAsia" w:ascii="宋体" w:hAnsi="宋体" w:eastAsia="宋体" w:cs="宋体"/>
          <w:b/>
          <w:bCs w:val="0"/>
          <w:color w:val="000000"/>
          <w:kern w:val="0"/>
          <w:sz w:val="44"/>
          <w:szCs w:val="44"/>
        </w:rPr>
        <w:t>城市危险房屋鉴定备案事中事后</w:t>
      </w:r>
    </w:p>
    <w:p w14:paraId="42FD7748">
      <w:pPr>
        <w:numPr>
          <w:ilvl w:val="0"/>
          <w:numId w:val="0"/>
        </w:numPr>
        <w:spacing w:line="560" w:lineRule="exact"/>
        <w:jc w:val="center"/>
        <w:rPr>
          <w:rFonts w:hint="eastAsia" w:ascii="宋体" w:hAnsi="宋体" w:eastAsia="宋体" w:cs="宋体"/>
          <w:b/>
          <w:bCs w:val="0"/>
          <w:color w:val="000000"/>
          <w:kern w:val="0"/>
          <w:sz w:val="44"/>
          <w:szCs w:val="44"/>
        </w:rPr>
      </w:pPr>
      <w:r>
        <w:rPr>
          <w:rFonts w:hint="eastAsia" w:ascii="宋体" w:hAnsi="宋体" w:eastAsia="宋体" w:cs="宋体"/>
          <w:b/>
          <w:bCs w:val="0"/>
          <w:color w:val="000000"/>
          <w:kern w:val="0"/>
          <w:sz w:val="44"/>
          <w:szCs w:val="44"/>
        </w:rPr>
        <w:t>监管细则</w:t>
      </w:r>
    </w:p>
    <w:p w14:paraId="5CA45AC0">
      <w:pPr>
        <w:spacing w:line="560" w:lineRule="exact"/>
        <w:ind w:firstLine="883" w:firstLineChars="200"/>
        <w:jc w:val="center"/>
        <w:rPr>
          <w:rFonts w:hint="eastAsia" w:ascii="宋体" w:hAnsi="宋体" w:eastAsia="宋体" w:cs="宋体"/>
          <w:b/>
          <w:bCs w:val="0"/>
          <w:color w:val="000000"/>
          <w:kern w:val="0"/>
          <w:sz w:val="44"/>
          <w:szCs w:val="44"/>
        </w:rPr>
      </w:pPr>
    </w:p>
    <w:p w14:paraId="15CF3AE5">
      <w:pPr>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color w:val="000000"/>
          <w:kern w:val="0"/>
          <w:sz w:val="32"/>
          <w:szCs w:val="32"/>
        </w:rPr>
        <w:t>为深入推进简政放权、放管结合、优化服务，加强</w:t>
      </w:r>
      <w:r>
        <w:rPr>
          <w:rFonts w:hint="eastAsia" w:ascii="仿宋" w:hAnsi="仿宋" w:eastAsia="仿宋" w:cs="仿宋_GB2312"/>
          <w:kern w:val="0"/>
          <w:sz w:val="32"/>
          <w:szCs w:val="32"/>
        </w:rPr>
        <w:t>城市危险房屋鉴定</w:t>
      </w:r>
      <w:r>
        <w:rPr>
          <w:rFonts w:hint="eastAsia" w:ascii="仿宋" w:hAnsi="仿宋" w:eastAsia="仿宋" w:cs="仿宋_GB2312"/>
          <w:kern w:val="0"/>
          <w:sz w:val="32"/>
          <w:szCs w:val="32"/>
          <w:lang w:eastAsia="zh-CN"/>
        </w:rPr>
        <w:t>备案事中事后</w:t>
      </w:r>
      <w:r>
        <w:rPr>
          <w:rFonts w:hint="eastAsia" w:ascii="仿宋" w:hAnsi="仿宋" w:eastAsia="仿宋" w:cs="仿宋_GB2312"/>
          <w:kern w:val="0"/>
          <w:sz w:val="32"/>
          <w:szCs w:val="32"/>
        </w:rPr>
        <w:t>监管服务工作，规范行政行为，根据相关法律法规和《城市危险房屋管理规定》，制定本监管细则。</w:t>
      </w:r>
    </w:p>
    <w:p w14:paraId="0861C736">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38</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，项目名称：城市危险房屋鉴定。</w:t>
      </w:r>
    </w:p>
    <w:p w14:paraId="55D7397C">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一、基本原则</w:t>
      </w:r>
    </w:p>
    <w:p w14:paraId="5989E65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4D85C9F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5F64BD93">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二、事中监管</w:t>
      </w:r>
    </w:p>
    <w:p w14:paraId="0669684D">
      <w:pPr>
        <w:spacing w:line="56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（一）监管任务</w:t>
      </w:r>
    </w:p>
    <w:p w14:paraId="51029DD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对祁门县范围内</w:t>
      </w:r>
      <w:r>
        <w:rPr>
          <w:rFonts w:hint="eastAsia" w:ascii="仿宋" w:hAnsi="仿宋" w:eastAsia="仿宋" w:cs="仿宋_GB2312"/>
          <w:bCs/>
          <w:color w:val="000000"/>
          <w:kern w:val="0"/>
          <w:sz w:val="32"/>
          <w:szCs w:val="32"/>
        </w:rPr>
        <w:t>城市危险房屋鉴定备案进行监管</w:t>
      </w:r>
      <w:r>
        <w:rPr>
          <w:rFonts w:hint="eastAsia" w:ascii="仿宋" w:hAnsi="仿宋" w:eastAsia="仿宋" w:cs="仿宋_GB2312"/>
          <w:sz w:val="32"/>
          <w:szCs w:val="32"/>
        </w:rPr>
        <w:t>。</w:t>
      </w:r>
    </w:p>
    <w:p w14:paraId="76759600">
      <w:pPr>
        <w:spacing w:line="560" w:lineRule="exac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落实受理、审查和决定、事后监管等阶段应履行的权责事项，规范权力运行流程，强化全程标准化监管。</w:t>
      </w:r>
    </w:p>
    <w:p w14:paraId="7C2BAD6F">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68AAE153">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主要对材料审查廉政风险点进行管理，强化权力运行制约监督。</w:t>
      </w:r>
    </w:p>
    <w:p w14:paraId="18B0769C">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kern w:val="0"/>
          <w:sz w:val="32"/>
          <w:szCs w:val="32"/>
        </w:rPr>
        <w:t>4.做出审核决定。</w:t>
      </w:r>
      <w:r>
        <w:rPr>
          <w:rFonts w:hint="eastAsia" w:ascii="仿宋" w:hAnsi="仿宋" w:eastAsia="仿宋" w:cs="仿宋_GB2312"/>
          <w:kern w:val="0"/>
          <w:sz w:val="32"/>
          <w:szCs w:val="32"/>
        </w:rPr>
        <w:t>申请材料齐全、符合法定形式的，1个工作日内做出同意审核决定。</w:t>
      </w:r>
    </w:p>
    <w:p w14:paraId="6AAEAFA9">
      <w:pPr>
        <w:spacing w:line="560" w:lineRule="exact"/>
        <w:ind w:firstLine="643" w:firstLineChars="200"/>
        <w:rPr>
          <w:rFonts w:ascii="仿宋" w:hAnsi="仿宋" w:eastAsia="仿宋" w:cs="仿宋_GB2312"/>
          <w:kern w:val="0"/>
          <w:sz w:val="32"/>
          <w:szCs w:val="32"/>
        </w:rPr>
      </w:pPr>
      <w:r>
        <w:rPr>
          <w:rFonts w:hint="eastAsia" w:ascii="仿宋" w:hAnsi="仿宋" w:eastAsia="仿宋" w:cs="仿宋_GB2312"/>
          <w:b/>
          <w:bCs/>
          <w:sz w:val="32"/>
          <w:szCs w:val="32"/>
        </w:rPr>
        <w:t>5.及时做好送达工作。</w:t>
      </w:r>
      <w:r>
        <w:rPr>
          <w:rFonts w:hint="eastAsia" w:ascii="仿宋" w:hAnsi="仿宋" w:eastAsia="仿宋" w:cs="仿宋_GB2312"/>
          <w:sz w:val="32"/>
          <w:szCs w:val="32"/>
        </w:rPr>
        <w:t>按规定制作并送达文件，并做到信息公开（不予批准的告知申请人（单位）存在的问题，按重新申报的程序重新提交申报材料)。</w:t>
      </w:r>
    </w:p>
    <w:p w14:paraId="07EE4853">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32D35F01">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7F9578CF">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2、实施现场监督检查。</w:t>
      </w:r>
      <w:r>
        <w:rPr>
          <w:rFonts w:hint="eastAsia" w:ascii="仿宋" w:hAnsi="仿宋" w:eastAsia="仿宋" w:cs="仿宋_GB2312"/>
          <w:sz w:val="32"/>
          <w:szCs w:val="32"/>
        </w:rPr>
        <w:t>实行现场监督检查，由</w:t>
      </w:r>
      <w:r>
        <w:rPr>
          <w:rFonts w:hint="eastAsia" w:ascii="仿宋" w:hAnsi="仿宋" w:eastAsia="仿宋" w:cs="仿宋_GB2312"/>
          <w:sz w:val="32"/>
          <w:szCs w:val="32"/>
          <w:lang w:eastAsia="zh-CN"/>
        </w:rPr>
        <w:t>县住建局建管股</w:t>
      </w:r>
      <w:r>
        <w:rPr>
          <w:rFonts w:hint="eastAsia" w:ascii="仿宋" w:hAnsi="仿宋" w:eastAsia="仿宋" w:cs="仿宋_GB2312"/>
          <w:sz w:val="32"/>
          <w:szCs w:val="32"/>
        </w:rPr>
        <w:t>负责组织，随机抽取监督检查执法人员2人以上，监督检查前应出示执法证件，现场主要核查施工现场场地规划、临时设施搭建要求、项目部人员组成等事项。</w:t>
      </w:r>
    </w:p>
    <w:p w14:paraId="442DF812">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3、发现违法行为及时上报。</w:t>
      </w:r>
      <w:r>
        <w:rPr>
          <w:rFonts w:hint="eastAsia" w:ascii="仿宋" w:hAnsi="仿宋" w:eastAsia="仿宋" w:cs="仿宋_GB2312"/>
          <w:kern w:val="0"/>
          <w:sz w:val="32"/>
          <w:szCs w:val="32"/>
        </w:rPr>
        <w:t>对没有安全施工措施的建设工程颁发施工许可证的；发现违法行为不予查处的；不依法履行监督管理职责的其他行为；在核发过程中收取贿赂，或为他人谋取不当利益的；其他法律法规规章文件规定应履行的责任。</w:t>
      </w:r>
    </w:p>
    <w:p w14:paraId="0DD7AEC1">
      <w:pPr>
        <w:autoSpaceDN w:val="0"/>
        <w:spacing w:line="560" w:lineRule="exact"/>
        <w:ind w:firstLine="640"/>
        <w:rPr>
          <w:rFonts w:ascii="仿宋" w:hAnsi="仿宋" w:eastAsia="仿宋" w:cs="仿宋_GB2312"/>
          <w:b/>
          <w:bCs/>
          <w:sz w:val="32"/>
          <w:szCs w:val="32"/>
        </w:rPr>
      </w:pPr>
      <w:r>
        <w:rPr>
          <w:rFonts w:hint="eastAsia" w:ascii="仿宋" w:hAnsi="仿宋" w:eastAsia="仿宋" w:cs="仿宋_GB2312"/>
          <w:b/>
          <w:bCs/>
          <w:sz w:val="32"/>
          <w:szCs w:val="32"/>
        </w:rPr>
        <w:t>4、按照法定程序和要求公布监管信息。</w:t>
      </w:r>
    </w:p>
    <w:p w14:paraId="0C122B19">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4EEB28A8">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30DCE50A">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14:paraId="5DA2E86E">
      <w:pPr>
        <w:spacing w:line="56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（三）申请材料。主要包括：</w:t>
      </w:r>
    </w:p>
    <w:p w14:paraId="2842DE51">
      <w:pPr>
        <w:ind w:firstLine="640" w:firstLineChars="200"/>
        <w:rPr>
          <w:rFonts w:ascii="仿宋" w:hAnsi="仿宋" w:eastAsia="仿宋" w:cs="仿宋_GB2312"/>
          <w:sz w:val="32"/>
          <w:szCs w:val="32"/>
        </w:rPr>
      </w:pPr>
      <w:r>
        <w:rPr>
          <w:rFonts w:hint="eastAsia" w:ascii="仿宋" w:hAnsi="仿宋" w:eastAsia="仿宋" w:cs="仿宋_GB2312"/>
          <w:sz w:val="32"/>
          <w:szCs w:val="32"/>
        </w:rPr>
        <w:t>1、中华人民共和国居民身份证</w:t>
      </w:r>
    </w:p>
    <w:p w14:paraId="62D960E0">
      <w:pPr>
        <w:ind w:firstLine="640" w:firstLineChars="200"/>
        <w:rPr>
          <w:rFonts w:ascii="仿宋" w:hAnsi="仿宋" w:eastAsia="仿宋" w:cs="仿宋_GB2312"/>
          <w:sz w:val="32"/>
          <w:szCs w:val="32"/>
        </w:rPr>
      </w:pPr>
      <w:r>
        <w:rPr>
          <w:rFonts w:hint="eastAsia" w:ascii="仿宋" w:hAnsi="仿宋" w:eastAsia="仿宋" w:cs="仿宋_GB2312"/>
          <w:sz w:val="32"/>
          <w:szCs w:val="32"/>
        </w:rPr>
        <w:t>2、房屋产权所有证明</w:t>
      </w:r>
    </w:p>
    <w:p w14:paraId="2868147C">
      <w:pPr>
        <w:ind w:firstLine="640" w:firstLineChars="200"/>
        <w:rPr>
          <w:rFonts w:ascii="仿宋" w:hAnsi="仿宋" w:eastAsia="仿宋" w:cs="仿宋_GB2312"/>
          <w:sz w:val="32"/>
          <w:szCs w:val="32"/>
        </w:rPr>
      </w:pPr>
      <w:r>
        <w:rPr>
          <w:rFonts w:hint="eastAsia" w:ascii="仿宋" w:hAnsi="仿宋" w:eastAsia="仿宋" w:cs="仿宋_GB2312"/>
          <w:sz w:val="32"/>
          <w:szCs w:val="32"/>
        </w:rPr>
        <w:t>3、房屋安全鉴定申请书</w:t>
      </w:r>
    </w:p>
    <w:p w14:paraId="3B72B25C">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三、事后监管</w:t>
      </w:r>
    </w:p>
    <w:p w14:paraId="732F439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（一）个人或组织发现申请人（单位）在建筑施工活动中有违法违规现象，有权向祁门县住建局举报，举报电话：0559－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，祁门县住建局将及时核实、处理，并将核实、处理结果书面告知举报人。</w:t>
      </w:r>
    </w:p>
    <w:p w14:paraId="1B6054A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（二）对企业巡查中发现的违法问题，按照住建部《</w:t>
      </w:r>
      <w:r>
        <w:rPr>
          <w:rFonts w:hint="eastAsia" w:ascii="仿宋" w:hAnsi="仿宋" w:eastAsia="仿宋" w:cs="仿宋_GB2312"/>
          <w:kern w:val="0"/>
          <w:sz w:val="32"/>
          <w:szCs w:val="32"/>
        </w:rPr>
        <w:t>房屋建筑和市政基础设施工程施工安全监督工作规程</w:t>
      </w:r>
      <w:r>
        <w:rPr>
          <w:rFonts w:hint="eastAsia" w:ascii="仿宋" w:hAnsi="仿宋" w:eastAsia="仿宋" w:cs="仿宋_GB2312"/>
          <w:sz w:val="32"/>
          <w:szCs w:val="32"/>
        </w:rPr>
        <w:t>》、安徽省住建厅《安徽省住房和城乡建设系统行政处罚裁量权基准》及《安徽省住房和城乡建设系统行政处罚裁量权实施办法（试行）》等规定，符合立案条件的，由祁门县住房和城乡建设局调查取证后，按照相关规定对经办人予以问责。</w:t>
      </w:r>
    </w:p>
    <w:p w14:paraId="3AD08377">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申请行政复议，也可以于6个月内依法向人民法院提起行政诉讼。行政复议或者行政诉讼期间，行政决定不在执行。</w:t>
      </w:r>
    </w:p>
    <w:p w14:paraId="0DC8189A">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四、责任追溯</w:t>
      </w:r>
    </w:p>
    <w:p w14:paraId="6365BCD8">
      <w:pPr>
        <w:autoSpaceDN w:val="0"/>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建局对建筑市场监管机构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34D7CCE1">
      <w:pPr>
        <w:spacing w:line="56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对没有安全施工措施的建设工程颁发施工许可证的；发现违法行为不予查处的；不依法履行监督管理职责的其他行为；在核发过程中收取贿赂，或为他人谋取不当利益的；其他法律法规规章文件规定应履行的责任。</w:t>
      </w:r>
      <w:r>
        <w:rPr>
          <w:rFonts w:hint="eastAsia" w:ascii="仿宋" w:hAnsi="仿宋" w:eastAsia="仿宋" w:cs="仿宋_GB2312"/>
          <w:sz w:val="32"/>
          <w:szCs w:val="32"/>
        </w:rPr>
        <w:t>按照相关规定对经办人予以问责。</w:t>
      </w:r>
    </w:p>
    <w:p w14:paraId="15F257C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会对祁门县住建局建管股进行监管，根据认定的过错责任大小实施相应的追究方式。包括：责令改正、责令做出书面检查、给予通报批评、调离执法岗位或者吊销执法证件、停职、给予行政处分等；涉嫌犯罪的，移交司法机关处理。</w:t>
      </w:r>
    </w:p>
    <w:p w14:paraId="4181089E">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五、保障措施</w:t>
      </w:r>
    </w:p>
    <w:p w14:paraId="703E551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7513EF1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2、认真执行省直机关效能建设八项制度，切实履行一次性告知义务。</w:t>
      </w:r>
    </w:p>
    <w:p w14:paraId="7BC42EE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3、加强业务培训，不断提高业务水平。</w:t>
      </w:r>
    </w:p>
    <w:p w14:paraId="5E9F926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4、加强内部监管，接受投诉举报，依法追究相关经办人员责任。</w:t>
      </w:r>
    </w:p>
    <w:p w14:paraId="4E6804AB">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六、主要依据</w:t>
      </w:r>
    </w:p>
    <w:p w14:paraId="171C3B49">
      <w:pPr>
        <w:spacing w:line="560" w:lineRule="exact"/>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《城市危险房屋管理规定》（2004年建设部令第129号）第六条、第九条、第十七条。</w:t>
      </w:r>
    </w:p>
    <w:p w14:paraId="774606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F98CA"/>
    <w:multiLevelType w:val="singleLevel"/>
    <w:tmpl w:val="BF6F98CA"/>
    <w:lvl w:ilvl="0" w:tentative="0">
      <w:start w:val="3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E462570"/>
    <w:rsid w:val="2E462570"/>
    <w:rsid w:val="65617DBB"/>
    <w:rsid w:val="68EA5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1992</Words>
  <Characters>2079</Characters>
  <Lines>0</Lines>
  <Paragraphs>0</Paragraphs>
  <TotalTime>0</TotalTime>
  <ScaleCrop>false</ScaleCrop>
  <LinksUpToDate>false</LinksUpToDate>
  <CharactersWithSpaces>2083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2024-01-18T09:10:00Z</dcterms:created>
  <dc:creator>沉默的小布芬</dc:creator>
  <cp:lastModifiedBy>沉默的小布芬</cp:lastModifiedBy>
  <dcterms:modified xsi:type="dcterms:W3CDTF">2024-08-01T06:59:36Z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3B1CA81D827945CC8A385C4520C5BEE1_11</vt:lpwstr>
  </property>
</Properties>
</file>